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324</w:t>
      </w:r>
    </w:p>
    <w:p>
      <w:r>
        <w:t>Bundesgericht (BGE), 1999-06-02, DE</w:t>
      </w:r>
    </w:p>
    <w:p>
      <w:r>
        <w:rPr>
          <w:b/>
        </w:rPr>
        <w:t xml:space="preserve">Quelle: </w:t>
      </w:r>
      <w:r>
        <w:t>https://mcp.opencaselaw.ch/entscheid/bge_125 V 324</w:t>
      </w:r>
    </w:p>
    <w:p>
      <w:r>
        <w:t>FR: ATF 125 V 324</w:t>
      </w:r>
    </w:p>
    <w:p>
      <w:r>
        <w:t>IT: DTF 125 V 324</w:t>
      </w:r>
    </w:p>
    <w:p>
      <w:pPr>
        <w:pStyle w:val="Heading2"/>
      </w:pPr>
      <w:r>
        <w:t>Regeste</w:t>
      </w:r>
    </w:p>
    <w:p>
      <w:r>
        <w:t>Regeste Art. 77 UVG; Art. 100 Abs. 3 UVV: Leistungspflicht bei erneutem Unfall. Welcher Unfallversicherer nach einem erneuten Unfall leistungspflichtig ist, hängt gemäss dem klaren Verordnungswortlaut in Art. 100 Abs. 3 UVV von der Beantwortung der Frage ab, ob eine Änderung des Invaliditätsgrades eingetreten ist; unerheblich ist demgegenüber, ob die zusätzliche durch den zweiten Unfall begründete Invalidität die aus dem ersten Unfall resultierende Beeinträchtigung der Erwerbsfähigkeit übersteigt. Art. 78a UVG; Art. 128 OG: Rechtsweg bei Streitigkeit unter Versicherern über deren Zuständigkeit. Die in Art. 78a UVG vorgesehene bundesamtliche Verfügungszuständigkeit schliesst nicht aus, dass der Unfallversicherer seine Leistungspflicht gegenüber dem Versicherten unter Hinweis auf die seiner Ansicht nach fehlende Zuständigkeit mit Verfügung und Einspracheentscheid verneint.</w:t>
      </w:r>
    </w:p>
    <w:p>
      <w:pPr>
        <w:pStyle w:val="Heading2"/>
      </w:pPr>
      <w:r>
        <w:t>Erwägungen</w:t>
      </w:r>
    </w:p>
    <w:p>
      <w:r>
        <w:rPr>
          <w:b/>
        </w:rPr>
        <w:t>E. 1</w:t>
      </w:r>
    </w:p>
    <w:p>
      <w:r>
        <w:t>a) Ausgangspunkt des vorliegenden Verfahrens ist der Einspracheentscheid vom 21. November 1997. Darin hat es die Winterthur abgelehnt, ausser der zugesprochenen Integritätsentschädigung weitere BGE 125 V 324 S. 327 Leistungen gemäss UVG an den Beschwerdegegner zu erbringen. In dem Anfechtungsgegenstand des vorliegenden Verfahrens bildenden Entscheid ( BGE 117 V 295 Erw. 2a) hat das kantonale Gericht den Einspracheentscheid aufgehoben und die Leistungspflicht der Winterthur vom Ergebnis von noch vorzunehmenden zusätzlichen Abklärungen abhängig gemacht. b) Damit handelt es sich vorliegend um einen Streit betreffend die Bewilligung oder Verweigerung von Versicherungsleistungen im Sinne von Art. 132 OG . Die Ordnungsmässigkeit des Einsprache- und vorinstanzlichen Verfahrens, welche rechtsprechungsgemäss von Amtes wegen geprüft wird (RKUV 1998 Nr. U 308 S. 454 Erw. 2a, 1993 Nr. U 175 S. 200 nicht veröffentlichte Erw. 2), ist daher ebenso zu bejahen wie die Zulässigkeit der Verwaltungsgerichtsbeschwerde ( Art. 128 ff. OG ). Diese scheidet nicht etwa deswegen aus, weil in einem negativen Kompetenzkonflikt zwischen Unfallversicherern, wie er sich hier in der Verfügung der SUVA vom 8. Januar 1998 und der Verfügung vom 27. Juni 1997 sowie dem Einspracheentscheid vom 21. November 1997 der Winterthur manifestiert, das Bundesamt für Sozialversicherung (BSV) nach Art. 78a UVG eine Verfügung hätte erlassen können, gegen welche zuerst die Beschwerde an das Eidg. Departement des Innern und danach erst die Verwaltungsgerichtsbeschwerde an das Eidg. Versicherungsgericht offen gestanden hätten (RKUV 1998 Nr. U 312 S. 470). Die bundesamtliche Verfügungszuständigkeit nach Art. 78a UVG und der dadurch begründete Rechtsmittelzug kommt nur dann zum Tragen, wenn entweder ein Unfallversicherer, der gegenüber dem andern Unfallversicherer keine Weisungsbefugnis besitzt ( BGE 120 V 489 ), oder ein Versicherter das BSV anruft und dieses über die streitige Zuständigkeit verfügungsweise entscheidet. Hingegen schliesst es Art. 78a UVG nicht aus, dass der Unfallversicherer gegenüber dem Ansprecher seine Leistungspflicht mit Verfügung und Einspracheentscheid ( Art. 105 UVG ) ablehnt und dies mit der - seiner Auffassung nach fehlenden - Zuständigkeit begründet. Was es hiebei zu beachten gilt, ist der eben erwähnte rechtliche Umstand, dass kein Unfallversicherer gegenüber dem andern die Zuständigkeitsfrage in seinem Sinne hoheitlich zu entscheiden befugt ist. Prozessual wird dem dadurch Rechnung getragen, dass insbesondere solche gestützt auf die angenommene fehlende Zuständigkeit erlassene Ablehnungsverfügungen und Einspracheentscheide nebst dem Versicherten nach Art. 129 UVV auch dem konkurrierenden Unfallversicherer zu eröffnen sind, was hier unstreitig geschehen ist. BGE 125 V 324 S. 328</w:t>
      </w:r>
    </w:p>
    <w:p>
      <w:r>
        <w:rPr>
          <w:b/>
        </w:rPr>
        <w:t>E. 2</w:t>
      </w:r>
    </w:p>
    <w:p>
      <w:r>
        <w:t>Wie der Beschwerdegegner selber richtig bemerkt, kennen die Verwaltungsrechtspflegebestimmungen der Art. 97 ff. in Verbindung mit Art. 128 ff. OG das Institut der Anschlussbeschwerde nicht ( BGE 124 V 155 Erw. 1). Hingegen halten sich die vom Beschwerdegegner gestellten Anträge, dass nämlich die Winterthur ohne die vorinstanzlich angeordneten Abklärungen als definitiv leistungspflichtig zu erklären sei, im Rahmen des Anfechtungsgegenstandes um die zuständigkeitsrechtlich begründete Leistungspflicht der Winterthur, welche diese bestreitet, wogegen das kantonale Gericht der Auffassung ist, die Kompetenzabgrenzung zwischen Winterthur und SUVA könne im vorliegenden Fall erst nach Durchführung ergänzender Abklärungen beurteilt werden. Der Antrag des Beschwerdegegners ist daher zwar nicht als förmliches Rechtsbegehren jedoch als Vorbringen entgegenzunehmen, welches der Sozialversicherungsrichter im Lichte der weiten Kognition nach Art. 132 lit. c OG würdigt.</w:t>
      </w:r>
    </w:p>
    <w:p>
      <w:r>
        <w:rPr>
          <w:b/>
        </w:rPr>
        <w:t>E. 3</w:t>
      </w:r>
    </w:p>
    <w:p>
      <w:r>
        <w:t>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Während das Eidg. Versicherungsgericht im Urteil F. vom 4. Januar 1994 ( BGE 120 V 65 ) zur Bedeutung und zum Verhältnis der Absätze 1 und 2 von Art. 100 BGE 125 V 324 S. 329 UVV grundsätzlich Stellung genommen hat, geht es vorliegend, soweit ersichtlich zum ersten Mal, um die Tragweite von Absatz 3 und dessen Verhältnis zu Absatz 2 dieser Verordnungsbestimmung. b) Wie der im Sachverhaltsteil A.- dargestellte Geschehensablauf zeigt, sind Winterthur und SUVA zunächst im Sinne von Art. 100 Abs. 2 UVV vorgegangen: Da der Beschwerdegegner am 6. Oktober 1994, als er den zweiten Unfall erlitt, eine neue versicherte Tätigkeit wieder aufgenommen (und ausgeübt) hatte sowie damals von einer aus dem ersten Unfall vom 20. April 1975 resultierenden 50%igen Arbeitsunfähigkeit betroffen war, stand einer Anwendung dieser Bestimmung nichts entgegen. Dass beide Unfallversicherer je ein hälftiges Taggeld erbrachten (statt die Winterthur als für den zweiten Unfall leistungspflichtige Versichererin die Gesamtleistungen), ist in keiner Weise zu beanstanden, sieht doch Art. 100 Abs. 2 dritter Satz ausdrücklich vor, dass die Versicherer eine abweichende Vereinbarung treffen können. Streitig ist nun aber, ob die Anwendung dieser Bestimmung des Abs. 2 durch Abs. 3 von Art. 100 UVV zurückgedrängt wird. Dies rührt daher, dass sich auch für den zweiten Unfall vom 6. Oktober 1994 die Frage nach dem Fallabschluss stellt. Hier liegen drei widerstreitende Standpunkte vor: aa) Beschwerdegegner und SUVA gehen davon aus, dass der zweite bei der Winterthur versicherte Unfall vom 6. Oktober 1994 eine Beeinträchtigung zurücklasse, welche die Erwerbsmöglichkeiten zusätzlich schmälere, woraus eine Änderung des unfallbedingten Invaliditätsgrades, somit eine Erhöhung der bisher von der SUVA gewährten 10%igen Invalidenrente resultiere. Damit sei das massgebliche Tatbestandsmerkmal des Abs. 3 von Art. 100 UVV , die Änderung des Invaliditätsgrades, gegeben. Deshalb habe der für den zweiten Unfall leistungspflichtige Versicherer, eben die Winterthur, sämtliche Leistungen auszurichten. bb) Die beschwerdeführende Winterthur ist dagegen - anders als im Einspracheentscheid und im kantonalen Verfahren, als sie die Anwendung des Art. 100 Abs. 3 UVV noch unter Hinweis auf die mit der SUVA getroffene Abmachung und mit dem Fehlen eines durch den zweiten Unfall geänderten Invaliditätsgrades in Abrede stellte - nunmehr der Auffassung, Art. 100 Abs. 3 UVV komme von vornherein nicht zur Anwendung, wenn der zweite Unfall einen vollinvaliden Versicherten treffe. Die rechtskräftige Verfügung der Invalidenversicherung vom 18. Oktober 1996 mit Rentenbeginn im Juni 1993 BGE 125 V 324 S. 330 weise aus, dass der Beschwerdegegner im Zeitpunkt "des Unfalles vom 6. Oktober 1994 bereits seit über zwei Jahren aus unfallfremden Gründen vollumfänglich erwerbsunfähig gewesen sei und deshalb aus der zusätzlichen unfallbedingten Beeinträchtigung des rechtsseitigen Armes gar keine Änderung des Invaliditätsgrades (habe) resultieren" können, zu welchem Ergebnis auch "die Vornahme des Einkommensvergleichs gemäss Art. 28 Abs. 3 UVV (keine verwertbare Leistungsfähigkeit sowohl vor als auch nach dem Unfall)" führe. cc) Das kantonale Gericht dagegen will zunächst abklären lassen, welche bleibenden Schädigungen aus den Unfällen von 1975 und 1994 resultieren; abklärungsbedürftig seien hier einzig die angeblichen Restfolgen des 1975 erlittenen Schädel-Hirn-Traumas, zu welcher Frage sich eine nochmalige Begutachtung aufdränge. Stünden die unfallbedingten Schäden fest, sei, im Rahmen eines auf realistischen Vorgaben bezüglich der Verweisungstätigkeiten durchzuführenden Einkommensvergleiches, der unfallbedingte Gesamtinvaliditätsgrad zu ermitteln. Schliesslich sei von dieser Gesamtinvalidität eine Ausscheidung danach vorzunehmen, wie sich die Folgen der Unfälle von 1975 und 1994, je gesondert, auf die Erwerbsfähigkeit auswirken. Stehe fest, dass sich die Folgen des Unfalles von 1975 erheblich mehr auf die Erwerbsfähigkeit auswirkten als die Folgen des Unfalles von 1994, habe die SUVA die Gesamtrente festzusetzen, andernfalls die Winterthur. c) aa) Zunächst ist festzuhalten, dass die eben wiedergegebene vorinstanzliche Schlussfolgerung, welche die Zuweisung zum Versicherer im Rahmen von Art. 100 Abs. 3 UVV nach der Schwere der invaliditätsmässigen Folgen vornehmen will, im Verordnungstext keine Grundlage findet. Verlangt ist nach dem klaren Verordnungswortlaut eine Änderung des Invaliditätsgrades, hingegen nicht, dass die zusätzliche durch den zweiten Unfall begründete Invalidität die aus dem ersten Unfall resultierende Einschränkung in der Erwerbsfähigkeit übersteigt. Die französisch- und italienischsprachigen Texte ergeben nichts anderes. bb) Dem Standpunkt der beschwerdeführenden Winterthur kann ebenfalls nicht beigepflichtet werden. Dass der Beschwerdegegner eine ganze Rente der Invalidenversicherung auf der Grundlage eines Invaliditätsgrades von 100% bezieht, heisst keineswegs, dass er nicht noch über eine Resterwerbsfähigkeit verfügte, welche Gegenstand der obligatorischen Unfallversicherung sein könnte, und zwar auch hinsichtlich des Anspruches auf eine Invalidenrente. BGE 125 V 324 S. 331 Der Bezug einer ganzen Invalidenrente der Invalidenversicherung ist gesetzlich begründet, selbst wenn der Versicherte noch über eine Resterwerbsfähigkeit von bis zu einem Drittel verfügt ( Art. 28 Abs. 1 IVG ). Dass dem Beschwerdegegner in den Rentenverfügungen der Invalidenversicherung ein 100%iger Invaliditätsgrad bescheinigt wurde, ist daher nicht entscheidend für die Beantwortung der Frage nach dem Unfallversicherungsschutz. Davon abgesehen ist die invalidenversicherungsrechtliche Leistungszusprechung für den unfallversicherungsrechtlichen Status nicht präjudiziell. Es kommt nur darauf an, ob es dem Betroffenen - u.U. entgegen der Berentung durch die Invalidenversicherung - nach dem ersten Unfall gelungen ist, wieder eine versicherungspflichtige Tätigkeit auszuüben. Wenn und insoweit ihm dies in zumutbarer Weise gelingt, liegt darin der Beweis, dass er effektiv über eine Resterwerbsfähigkeit verfügt. Der Standpunkt der beschwerdeführenden Winterthur würde im Ergebnis darauf hinauslaufen, Versicherten in der Lage des Beschwerdegegners den unfallversicherungsrechtlichen Schutz, zumindest in Bezug auf die Invalidenrentenberechtigung, zu versagen, was nach den gesetzlichen Vorgaben nicht angeht. Ob und inwieweit der durch einen ersten Unfall in seiner Erwerbsfähigkeit schon beeinträchtigte Versicherte aus dem zweiten Unfall eine rentenerhöhende Invalidität geltend machen kann, hängt demgegenüber davon ab, ob er im Rahmen von Art. 28 Abs. 3 UVV über einen Lohn verfügte, den er auf Grund der vorbestehenden verminderten Leistungsfähigkeit zu erzielen im Stande wäre und den er nun wegen den Auswirkungen des zweiten Unfalles verliert (OMLIN, Die Invalidität in der obligatorischen Unfallversicherung, Diss. Freiburg 1995, S. 130). Ob dies zutrifft, braucht in diesem Verfahren nicht entschieden zu werden. Dazu hat zunächst der zuständige Versicherer Stellung zu nehmen. cc) Damit bleibt zu prüfen, ob bei der gegebenen Aktenlage zuverlässig gesagt werden kann, dass der zweite Unfall zu einer Änderung des bisherigen 10%igen unfallbedingten Invaliditätsgrades führt, was, wie dargetan, Voraussetzung für die Anwendung von Art. 100 Abs. 3 UVV ist. Diese Frage ist gestützt auf die bei den Akten liegenden medizinischen Berichte eindeutig zu bejahen. Der Beschwerdegegner ist durch die Restfolgen der am 6. Oktober 1994 erlittenen rechtsseitigen Oberarmfraktur, zusätzlich zu den Folgen des Unfalles vom 20. April 1975, insbesondere den Kniebeschwerden, beeinträchtigt. In welchem Ausmass dies zutrifft, hat nach dem Gesagten die Winterthur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